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15" w:rsidRDefault="0027671B" w:rsidP="00BA0E15">
      <w:pPr>
        <w:spacing w:after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02.06.2022</w:t>
      </w:r>
    </w:p>
    <w:p w:rsidR="0029289C" w:rsidRDefault="0029289C" w:rsidP="00BA0E15">
      <w:pPr>
        <w:spacing w:after="0"/>
        <w:jc w:val="both"/>
        <w:rPr>
          <w:rFonts w:ascii="Verdana" w:hAnsi="Verdana" w:cs="Times New Roman"/>
          <w:bCs/>
          <w:sz w:val="20"/>
          <w:szCs w:val="20"/>
        </w:rPr>
      </w:pPr>
    </w:p>
    <w:p w:rsidR="000F3AC0" w:rsidRDefault="00873535" w:rsidP="0038609C">
      <w:pPr>
        <w:spacing w:after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Turnen</w:t>
      </w:r>
      <w:r w:rsidR="0038609C" w:rsidRPr="008C7CD0">
        <w:rPr>
          <w:rFonts w:ascii="Verdana" w:hAnsi="Verdana" w:cs="Times New Roman"/>
          <w:bCs/>
          <w:sz w:val="20"/>
          <w:szCs w:val="20"/>
        </w:rPr>
        <w:t xml:space="preserve">: </w:t>
      </w:r>
      <w:r w:rsidR="0027671B">
        <w:rPr>
          <w:rFonts w:ascii="Verdana" w:hAnsi="Verdana" w:cs="Times New Roman"/>
          <w:bCs/>
          <w:sz w:val="20"/>
          <w:szCs w:val="20"/>
        </w:rPr>
        <w:t>VDT feiert mit der Riegenmeisterschaft der Division 1 ihren Saisonabschluss</w:t>
      </w:r>
    </w:p>
    <w:p w:rsidR="00BA0E15" w:rsidRPr="0038609C" w:rsidRDefault="00BA0E15" w:rsidP="00BA0E15">
      <w:pPr>
        <w:spacing w:after="0"/>
        <w:jc w:val="both"/>
        <w:rPr>
          <w:rFonts w:ascii="Verdana" w:hAnsi="Verdana" w:cs="Times New Roman"/>
          <w:b/>
          <w:i/>
          <w:sz w:val="20"/>
          <w:szCs w:val="20"/>
        </w:rPr>
      </w:pPr>
    </w:p>
    <w:p w:rsidR="00BA0E15" w:rsidRDefault="0027671B" w:rsidP="00BA0E15">
      <w:pPr>
        <w:spacing w:after="0"/>
        <w:jc w:val="both"/>
        <w:rPr>
          <w:rFonts w:ascii="Verdana" w:hAnsi="Verdana" w:cs="Times New Roman"/>
          <w:b/>
          <w:i/>
          <w:sz w:val="28"/>
          <w:szCs w:val="28"/>
        </w:rPr>
      </w:pPr>
      <w:r>
        <w:rPr>
          <w:rFonts w:ascii="Verdana" w:hAnsi="Verdana" w:cs="Times New Roman"/>
          <w:b/>
          <w:i/>
          <w:sz w:val="28"/>
          <w:szCs w:val="28"/>
        </w:rPr>
        <w:t>Nachwuchs rückt in den kommenden Jahren nach</w:t>
      </w:r>
    </w:p>
    <w:p w:rsidR="0019126B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  <w:r>
        <w:rPr>
          <w:rFonts w:ascii="Verdana" w:hAnsi="Verdana" w:cs="TheAntiquaB-W4SemiLight"/>
          <w:i/>
          <w:noProof/>
          <w:color w:val="231F20"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681EA19D" wp14:editId="7A2AF40D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6208395" cy="2790825"/>
            <wp:effectExtent l="0" t="0" r="1905" b="9525"/>
            <wp:wrapNone/>
            <wp:docPr id="2" name="Grafik 2" descr="C:\Program Files\Microtek\ScanWizard 5\My Images\RM 1 - 2022\20220507_21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tek\ScanWizard 5\My Images\RM 1 - 2022\20220507_212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6" b="30266"/>
                    <a:stretch/>
                  </pic:blipFill>
                  <pic:spPr bwMode="auto">
                    <a:xfrm>
                      <a:off x="0" y="0"/>
                      <a:ext cx="620839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35" w:rsidRDefault="00873535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873535" w:rsidRDefault="00873535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873535" w:rsidRDefault="00873535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8969A6" w:rsidRDefault="008969A6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8969A6" w:rsidRDefault="008969A6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8969A6" w:rsidRDefault="008969A6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8969A6" w:rsidRDefault="008969A6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</w:p>
    <w:p w:rsidR="003114CF" w:rsidRP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color w:val="231F20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>Der TV Elsenborn belegte mit seinem Showtanz den zweiten Platz.</w:t>
      </w:r>
      <w:r>
        <w:rPr>
          <w:rFonts w:ascii="Verdana" w:hAnsi="Verdana" w:cs="TheAntiquaB-W4SemiLight"/>
          <w:color w:val="231F20"/>
          <w:sz w:val="20"/>
          <w:szCs w:val="20"/>
        </w:rPr>
        <w:t xml:space="preserve">              </w:t>
      </w:r>
      <w:r w:rsidRPr="003114CF">
        <w:rPr>
          <w:rFonts w:ascii="Verdana" w:hAnsi="Verdana" w:cs="TheAntiquaB-W4SemiLight"/>
          <w:color w:val="231F20"/>
          <w:sz w:val="16"/>
          <w:szCs w:val="16"/>
        </w:rPr>
        <w:t xml:space="preserve">Foto: </w:t>
      </w:r>
      <w:proofErr w:type="spellStart"/>
      <w:r w:rsidRPr="003114CF">
        <w:rPr>
          <w:rFonts w:ascii="Verdana" w:hAnsi="Verdana" w:cs="TheAntiquaB-W4SemiLight"/>
          <w:color w:val="231F20"/>
          <w:sz w:val="16"/>
          <w:szCs w:val="16"/>
        </w:rPr>
        <w:t>Griseldis</w:t>
      </w:r>
      <w:proofErr w:type="spellEnd"/>
      <w:r w:rsidRPr="003114CF">
        <w:rPr>
          <w:rFonts w:ascii="Verdana" w:hAnsi="Verdana" w:cs="TheAntiquaB-W4SemiLight"/>
          <w:color w:val="231F20"/>
          <w:sz w:val="16"/>
          <w:szCs w:val="16"/>
        </w:rPr>
        <w:t xml:space="preserve"> </w:t>
      </w:r>
      <w:proofErr w:type="spellStart"/>
      <w:r w:rsidRPr="003114CF">
        <w:rPr>
          <w:rFonts w:ascii="Verdana" w:hAnsi="Verdana" w:cs="TheAntiquaB-W4SemiLight"/>
          <w:color w:val="231F20"/>
          <w:sz w:val="16"/>
          <w:szCs w:val="16"/>
        </w:rPr>
        <w:t>Cormann</w:t>
      </w:r>
      <w:proofErr w:type="spellEnd"/>
    </w:p>
    <w:p w:rsidR="003114CF" w:rsidRDefault="003114CF" w:rsidP="009175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i/>
          <w:color w:val="231F20"/>
          <w:sz w:val="20"/>
          <w:szCs w:val="20"/>
        </w:rPr>
      </w:pPr>
      <w:bookmarkStart w:id="0" w:name="_GoBack"/>
      <w:bookmarkEnd w:id="0"/>
    </w:p>
    <w:p w:rsidR="0027671B" w:rsidRPr="003114CF" w:rsidRDefault="0027671B" w:rsidP="003114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color w:val="231F20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In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fand die letzte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Meisterschaft im Turnen auf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dem Gebiet der Deutschsprachigen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Gemeinschaft in der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Saison 2021-2022 statt. 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Akrobatik-Pokal der Riegenmeisterschaft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der Division 1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gewann der TSV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>.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Sieben Vereine aus dem Süden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Ostbelgiens traten bei der</w:t>
      </w:r>
    </w:p>
    <w:p w:rsidR="003114CF" w:rsidRDefault="0027671B" w:rsidP="003114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color w:val="231F20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>Riegenmeisterschaft der Division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1 in sechs Disziplinen gegeneinander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an. Zwischen 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Wettbewerben zeigten der TV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Nidrum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und der KTSV Recht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Showauftritte.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</w:p>
    <w:p w:rsidR="003114CF" w:rsidRDefault="0027671B" w:rsidP="003114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color w:val="231F20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>Im „Tanz Modern“ kam es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darauf an, schnell aufeinanderfolgende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Kombinationen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von Tanzschritten, Formationen,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Sprüngen, Bodenelementen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und richtungsändernde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Bewegungen darzubieten, die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dem Rhythmus der gewählten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Musik entsprechen und von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allen mindestens acht Tänzern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ausgeführt werden. Das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gelang dem TV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Weywertz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am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besten. Er siegte mit 90,56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Punkten vor dem TSV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(88,48 Punkte) und dem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KTSV Recht (84,58 Punkte).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</w:p>
    <w:p w:rsidR="0027671B" w:rsidRPr="003114CF" w:rsidRDefault="0027671B" w:rsidP="003114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color w:val="231F20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>Im Showtanz, der der Unterhaltung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dient und einem Bühnenauftritt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nachempfunden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ist, setzte der TV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Weywertz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mit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77,41 Punkten ebenfalls gegen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die Konkurrenz durch. Dahinter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platzierten sich der TV Elsenborn,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der TV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Manderfeld</w:t>
      </w:r>
      <w:proofErr w:type="spellEnd"/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und die TSG Amel. „Einen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Rhythmik-Pokal konnten wir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nicht vergeben, da kein Verein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für drei Disziplinen eingeschrieben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war“, erklärten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Michèle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Wansart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und Vera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Zeimers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>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die VDT-Programmverantwortlichen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für die Rhythmik.</w:t>
      </w:r>
    </w:p>
    <w:p w:rsidR="0027671B" w:rsidRPr="003114CF" w:rsidRDefault="0027671B" w:rsidP="003114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heAntiquaB-W4SemiLight"/>
          <w:color w:val="231F20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>In der Akrobatik wurden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gleich vier Disziplinen ausgetragen.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Im Trampolin 1 wurden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sechs Bahnen im Schwierigkeitsgrad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zwischen sechs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und 14 Punkten absolviert. Die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TSG Amel entschied die Konkurrenz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deutlich mit 129,33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Punkten für sich, vor dem TSV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(82,76 Punkte). Im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Trampolin 2 zeigten die Teilnehmer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ebenfalls sechs Bahnen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(Pflicht, Kür und Synchron),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aber diese mussten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einen Schwierigkeitsgrad über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sieben nachweisen. Dem TV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Nidrum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gelangen alle Bahnen,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so dass der Verein mit 151,32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Punkten belohnt wurde. Der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TSV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kam mit 120,92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Punkten auf den zweiten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Platz. Jeweils konkurrenzlos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traten die TSG Amel im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Tumbling</w:t>
      </w:r>
      <w:proofErr w:type="spellEnd"/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und der TSV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bei den Pyramiden an. Für die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Breite der Teilnahme in drei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von vier Disziplinen wurde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der TSV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Rocherath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 mit dem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Akrobatik-Pokal belohnt: „Es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ist eine wichtige Leistung, seine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Aktiven langfristig zu begeistern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und zu motivieren,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an Wettkämpfen teilzunehmen.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Die Corona-Krise hat es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gerade bei den älteren Turnerinnen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und Turnern im Jugend-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und Erwachsenenalter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den Vereinen schwergemacht.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Das ist das Alter, in dem sich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die Prioritäten verändern“,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 xml:space="preserve">weiß Robert 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Kreusch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>, VDT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>-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Programmverantwortlicher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für die Akrobatik.</w:t>
      </w:r>
    </w:p>
    <w:p w:rsidR="00873535" w:rsidRPr="003114CF" w:rsidRDefault="0027671B" w:rsidP="003114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114CF">
        <w:rPr>
          <w:rFonts w:ascii="Verdana" w:hAnsi="Verdana" w:cs="TheAntiquaB-W4SemiLight"/>
          <w:color w:val="231F20"/>
          <w:sz w:val="20"/>
          <w:szCs w:val="20"/>
        </w:rPr>
        <w:t>Alle Programmverantwortlichen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gehen davon aus, dass in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den kommenden Jahren wieder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mehr Teilnehmer bei den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Riegenmeisterschaften der Division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1 zu sehen sind, denn: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„Wir sehen, dass der Nachwuchs</w:t>
      </w:r>
      <w:r w:rsidR="003114CF">
        <w:rPr>
          <w:rFonts w:ascii="Verdana" w:hAnsi="Verdana" w:cs="TheAntiquaB-W4SemiLight"/>
          <w:color w:val="231F20"/>
          <w:sz w:val="20"/>
          <w:szCs w:val="20"/>
        </w:rPr>
        <w:t xml:space="preserve"> </w:t>
      </w:r>
      <w:r w:rsidRPr="003114CF">
        <w:rPr>
          <w:rFonts w:ascii="Verdana" w:hAnsi="Verdana" w:cs="TheAntiquaB-W4SemiLight"/>
          <w:color w:val="231F20"/>
          <w:sz w:val="20"/>
          <w:szCs w:val="20"/>
        </w:rPr>
        <w:t>nachrückt.“ (</w:t>
      </w:r>
      <w:proofErr w:type="spellStart"/>
      <w:r w:rsidRPr="003114CF">
        <w:rPr>
          <w:rFonts w:ascii="Verdana" w:hAnsi="Verdana" w:cs="TheAntiquaB-W4SemiLight"/>
          <w:color w:val="231F20"/>
          <w:sz w:val="20"/>
          <w:szCs w:val="20"/>
        </w:rPr>
        <w:t>cor</w:t>
      </w:r>
      <w:proofErr w:type="spellEnd"/>
      <w:r w:rsidRPr="003114CF">
        <w:rPr>
          <w:rFonts w:ascii="Verdana" w:hAnsi="Verdana" w:cs="TheAntiquaB-W4SemiLight"/>
          <w:color w:val="231F20"/>
          <w:sz w:val="20"/>
          <w:szCs w:val="20"/>
        </w:rPr>
        <w:t>)</w:t>
      </w:r>
    </w:p>
    <w:sectPr w:rsidR="00873535" w:rsidRPr="003114CF" w:rsidSect="0019126B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AntiquaB-W4Sem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32"/>
    <w:rsid w:val="0002121C"/>
    <w:rsid w:val="00022C07"/>
    <w:rsid w:val="000605C9"/>
    <w:rsid w:val="000B5702"/>
    <w:rsid w:val="000F3AC0"/>
    <w:rsid w:val="00102746"/>
    <w:rsid w:val="00136DCE"/>
    <w:rsid w:val="00150D0A"/>
    <w:rsid w:val="0019126B"/>
    <w:rsid w:val="001B2F7C"/>
    <w:rsid w:val="0020570E"/>
    <w:rsid w:val="00246425"/>
    <w:rsid w:val="002500DB"/>
    <w:rsid w:val="00252346"/>
    <w:rsid w:val="0027671B"/>
    <w:rsid w:val="0029289C"/>
    <w:rsid w:val="002B43EC"/>
    <w:rsid w:val="002C085D"/>
    <w:rsid w:val="002E363C"/>
    <w:rsid w:val="002F2BB6"/>
    <w:rsid w:val="002F2E98"/>
    <w:rsid w:val="003114CF"/>
    <w:rsid w:val="00316E0A"/>
    <w:rsid w:val="0033123E"/>
    <w:rsid w:val="00345697"/>
    <w:rsid w:val="00352CBF"/>
    <w:rsid w:val="003613FF"/>
    <w:rsid w:val="00362EB3"/>
    <w:rsid w:val="00366BC8"/>
    <w:rsid w:val="00385932"/>
    <w:rsid w:val="0038609C"/>
    <w:rsid w:val="003D705F"/>
    <w:rsid w:val="0040012A"/>
    <w:rsid w:val="00401C48"/>
    <w:rsid w:val="00402325"/>
    <w:rsid w:val="0043262F"/>
    <w:rsid w:val="0043347A"/>
    <w:rsid w:val="004468D0"/>
    <w:rsid w:val="00457259"/>
    <w:rsid w:val="00481B5B"/>
    <w:rsid w:val="00482AAA"/>
    <w:rsid w:val="004E7DCE"/>
    <w:rsid w:val="004F210F"/>
    <w:rsid w:val="004F6664"/>
    <w:rsid w:val="005320D2"/>
    <w:rsid w:val="005541C9"/>
    <w:rsid w:val="005C5855"/>
    <w:rsid w:val="005C61D2"/>
    <w:rsid w:val="005D15D9"/>
    <w:rsid w:val="0060500E"/>
    <w:rsid w:val="0062223A"/>
    <w:rsid w:val="0064791B"/>
    <w:rsid w:val="006B6621"/>
    <w:rsid w:val="006C33AD"/>
    <w:rsid w:val="006F65A8"/>
    <w:rsid w:val="00700526"/>
    <w:rsid w:val="0074164A"/>
    <w:rsid w:val="00741824"/>
    <w:rsid w:val="007872B8"/>
    <w:rsid w:val="007C7659"/>
    <w:rsid w:val="007D306D"/>
    <w:rsid w:val="007E2721"/>
    <w:rsid w:val="00800AD1"/>
    <w:rsid w:val="00861BBE"/>
    <w:rsid w:val="00866EC4"/>
    <w:rsid w:val="00873535"/>
    <w:rsid w:val="008969A6"/>
    <w:rsid w:val="008D3B07"/>
    <w:rsid w:val="009175E2"/>
    <w:rsid w:val="009826DA"/>
    <w:rsid w:val="009A4C81"/>
    <w:rsid w:val="00A24197"/>
    <w:rsid w:val="00A60342"/>
    <w:rsid w:val="00A604E8"/>
    <w:rsid w:val="00AA49AA"/>
    <w:rsid w:val="00AB267B"/>
    <w:rsid w:val="00AE0F4A"/>
    <w:rsid w:val="00B27A00"/>
    <w:rsid w:val="00B416B8"/>
    <w:rsid w:val="00B471F9"/>
    <w:rsid w:val="00B57295"/>
    <w:rsid w:val="00B77CD0"/>
    <w:rsid w:val="00BA0E15"/>
    <w:rsid w:val="00BA5B43"/>
    <w:rsid w:val="00BF471D"/>
    <w:rsid w:val="00C71757"/>
    <w:rsid w:val="00C764D4"/>
    <w:rsid w:val="00CA702B"/>
    <w:rsid w:val="00CE33FE"/>
    <w:rsid w:val="00D05F46"/>
    <w:rsid w:val="00D20BBF"/>
    <w:rsid w:val="00D30CE6"/>
    <w:rsid w:val="00DB57CC"/>
    <w:rsid w:val="00DC38F9"/>
    <w:rsid w:val="00DD23DF"/>
    <w:rsid w:val="00E37270"/>
    <w:rsid w:val="00EB4122"/>
    <w:rsid w:val="00EC1BBE"/>
    <w:rsid w:val="00EF50E6"/>
    <w:rsid w:val="00F27FAE"/>
    <w:rsid w:val="00F7595A"/>
    <w:rsid w:val="00F80124"/>
    <w:rsid w:val="00F86BBD"/>
    <w:rsid w:val="00FA6D42"/>
    <w:rsid w:val="00FC7557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9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593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9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593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VDT</dc:creator>
  <cp:lastModifiedBy>VDT</cp:lastModifiedBy>
  <cp:revision>2</cp:revision>
  <cp:lastPrinted>2021-04-13T10:39:00Z</cp:lastPrinted>
  <dcterms:created xsi:type="dcterms:W3CDTF">2022-06-14T09:35:00Z</dcterms:created>
  <dcterms:modified xsi:type="dcterms:W3CDTF">2022-06-14T09:35:00Z</dcterms:modified>
</cp:coreProperties>
</file>